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171</w:t>
      </w:r>
    </w:p>
    <w:p>
      <w:r>
        <w:t>Bundesgericht (BGE), 1997-04-14, FR</w:t>
      </w:r>
    </w:p>
    <w:p>
      <w:r>
        <w:rPr>
          <w:b/>
        </w:rPr>
        <w:t xml:space="preserve">Quelle: </w:t>
      </w:r>
      <w:r>
        <w:t>https://mcp.opencaselaw.ch/entscheid/bge_123 III 171</w:t>
      </w:r>
    </w:p>
    <w:p>
      <w:r>
        <w:t>FR: ATF 123 III 171</w:t>
      </w:r>
    </w:p>
    <w:p>
      <w:r>
        <w:t>IT: DTF 123 III 171</w:t>
      </w:r>
    </w:p>
    <w:p>
      <w:pPr>
        <w:pStyle w:val="Heading2"/>
      </w:pPr>
      <w:r>
        <w:t>Regeste</w:t>
      </w:r>
    </w:p>
    <w:p>
      <w:r>
        <w:t>Regeste Beendigung der kantonalen Mietzinskontrolle über ein Mietshaus; auf die Berechnung der nachfolgenden Mietzinserhöhung anwendbare Methode und Kriterien. Die Beendigung der kantonalen Mietzinskontrolle rechtfertigt - als Ausnahme von der Regel - die Anwendung der absoluten Berechnungsmethode. In diesem Rahmen sind die bei der Berechnung der finanziellen Belastung einzubeziehenden Fremdmittel nur in der Höhe der Anlagekosten zu berücksichtigen, berechnet nach der üblichen Methode, das heisst nach dem in den zulässigen Grenzen aktualisierten Wert der investierten Eigenmittel und erhöht um die ursprünglichen Fremdmittel.</w:t>
      </w:r>
    </w:p>
    <w:p>
      <w:pPr>
        <w:pStyle w:val="Heading2"/>
      </w:pPr>
      <w:r>
        <w:t>Erwägungen</w:t>
      </w:r>
    </w:p>
    <w:p>
      <w:r>
        <w:rPr>
          <w:b/>
        </w:rPr>
        <w:t>E. 6</w:t>
      </w:r>
    </w:p>
    <w:p>
      <w:r>
        <w:t>a) En principe, pour majorer unilatéralement un loyer, le bailleur ne devrait invoquer que des critères relatifs, et le juge appliquer la méthode relative. Exceptionnellement, la jurisprudence admet que le bailleur se prévale directement d'un facteur absolu et que le juge applique la méthode absolue pour examiner une majoration unilatérale du loyer (LACHAT, La pratique récente en matière de loyers, in: Séminaire sur le droit du bail, Neuchâtel 1996, n. 38 à 43). La sortie d'un immeuble du contrôle cantonal des loyers constitue précisément l'une des exceptions à ce principe ( ATF 117 II 77 ), justifiée, d'une part, par le fait que les dispositions relatives à la contestation des loyers abusifs ne s'appliquent pas aux locaux d'habitation dont le loyer est soumis au contrôle d'une autorité ( art. 253b al. 3 CO ) et, d'autre part, parce que les modalités spécifiques auxquelles obéit la fixation du loyer par l'autorité administrative compétente ne sont pas de nature à éveiller chez le locataire la confiance, propre à la méthode relative, quant au caractère suffisant du dernier loyer payé par lui (arrêt non publié du 25 janvier 1994, dans la cause 4C.153/1993, consid. 2 in fine, reproduit in: mietrechtspraxis [mp] 1994, p. 93 ss, 95 in fine). La méthode absolue sert à vérifier concrètement que le loyer ne procure pas un rendement excessif au bailleur. Dans cette méthode, BGE 123 III 171 S. 174 c'est le loyer lui-même, sans égard aux stipulations contractuelles, ni à son évolution dans le temps, qui est contrôlé sur la base de la situation financière de l'immeuble à un moment donné, tandis que, dans la méthode relative, il s'agit d'examiner uniquement si une modification du loyer est compatible avec la volonté exprimée antérieurement par celui qui la réclame ( ATF 120 II 240 consid. 2 p. 242; ATF 117 II 77 consid. 2 p. 80). L' art. 269 CO implique une analyse du rendement net obtenu par le bailleur. Ce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le prix d'achat de celui-ci ne soit manifestement exagéré, et en soustraire le montant des fonds étrangers (emprunts du propriétaire garantis ou non par hypothèque; ATF 117 II 77 consid. 3a/aa, qui traite de la disposition similaire de l' art. 14 AMSL ). Les fonds propres investis par le bailleur doivent être adaptés au renchérissement, mais leur réévaluation ne saurait dépasser le 40% du prix de revient de l'immeuble pour les motifs indiqués dans l' ATF 120 II 100 . Lorsque les loyers étaient soumis au contrôle d'une autorité étatique, cette réévaluation doit être opérée en fonction du renchérissement enregistré depuis la date d'investissement des fonds propres, et non pas depuis la date de la sortie du contrôle cantonal (ATF ATF 117 II 77 consid. 3b/aa p. 83). Au demeurant, il n'est pas possible de substituer au coût de revient partiellement réévalué d'autres valeurs, plus ou moins abstraites, telles que la valeur vénale de l'immeuble, sa valeur fiscale ou sa valeur d'assurance-incendie ( ATF 122 III 257 consid. 3b). Le montant des fonds propres peut varier avec le temps (LACHAT/MICHELI, Le nouveau droit du bail, 2e éd., p. 206, n. 5.4). Il augmente lorsque le bailleur amortit sa dette hypothécaire ou finance lui-même des travaux à plus-value ( ATF 122 III 257 consid. 3a; 117 II 77 consid. 3a/cc). Inversement, il diminue si le bailleur alourdit la charge hypothécaire de son immeuble (cf. ROHRER, Wie wird die Nettorendite im Sinne von Art. 269 OR berechnet?, in: MietRecht Aktuell [MRA] 1996, p. 43 ss, 48, traduit in: Cahiers du bail [CdB] 1996, p. 65 ss, 69; GUT, Angemessener Ertrag, in: mp 1996, p. 177 ss, 188). Lorsqu'il est nul, parce que la dette hypothécaire est égale ou supérieure au montant de l'investissement initial réévalué, le revenu locatif ne pourra plus servir qu'à couvrir les charges immobilières effectives, faute de fonds propres. ROHRER est d'avis que le BGE 123 III 171 S. 175 montant de ces charges importe peu, car la jurisprudence n'impose pas le montant jusqu'à concurrence duquel le bailleur peut hypothéquer son immeuble et ne prescrit pas davantage à quelles fins les prêts qui lui ont été consentis doivent être utilisés (ibid.). On ne saurait lui emboîter le pas. L'auteur indique lui-même les abus que pourrait générer la solution qu'il préconise et à l'appui de laquelle il ne cite d'ailleurs aucun précédent. De fait, dans l'hypothèse où la valeur vénale de l'immeuble aurait fortement augmenté depuis sa construction ou son achat, le bailleur serait en mesure d'en réaliser la plus-value aux dépens des locataires en utilisant une partie du crédit octroyé par la banque sur la base de cette valeur pour acheter un autre immeuble, tout en faisant assumer par les locataires de l'immeuble grevé le service de la dette hypothécaire (MRA, cit., p. 48; CdB, cit., p. 70 en haut; dans le même ordre d'idées, cf. l'arrêt de la Cour de cassation civile neuchâteloise du 18 janvier 1994 publié in: Recueil de jurisprudence neuchâteloise 1994, p. 55 ss, 56/57 consid. 5 et son résumé in: Droit du bail 1994, n. 13). La solution préconisée par ROHRER, si elle était adoptée, reviendrait du reste à entériner, par un chemin détourné, celle qui consiste à calculer le rendement en fonction de la valeur actuelle effective de l'immeuble du bailleur et qui a été expressément rejetée dans l' ATF 122 III 257 , précité. En réalité, pour rester dans le droit fil de la jurisprudence, il convient de limiter les emprunts à prendre en considération pour le calcul des charges financières au prix de revient de l'immeuble calculé selon la méthode usuelle, c'est-à-dire à la valeur réactualisée des fonds propres investis par le bailleur, augmentée des fonds étrangers initiaux. Demeure réservée l'hypothèse où les emprunts excédant ce plafond ont servi à financer des prestations supplémentaires du bailleur, au sens des art. 269a let. b CO et 14 OBLF (RS 221.213.11). Si l'on s'en tient à la limite ainsi fixée, l'affectation des fonds empruntés importe peu. En effet, du moment que, selon la jurisprudence, le rendement admissible de l'entier des fonds propres réactualisés doit être fixé en fonction d'un taux supérieur d'un demi pour cent au taux déterminant pour les prêts hypothécaires en premier rang ( ATF 122 III 257 consid. 3a; ATF 120 II 100 consid. 6b), le bailleur n'a aucun intérêt à réduire la part de son investissement personnel initial en augmentant sa dette hypothécaire.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